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2B0" w:rsidRDefault="008F52B0" w:rsidP="008F52B0">
      <w:pPr>
        <w:spacing w:after="0" w:line="480" w:lineRule="auto"/>
        <w:ind w:firstLine="720"/>
        <w:rPr>
          <w:rFonts w:ascii="Times New Roman" w:hAnsi="Times New Roman" w:cs="Times New Roman"/>
          <w:sz w:val="24"/>
          <w:szCs w:val="24"/>
        </w:rPr>
      </w:pPr>
      <w:bookmarkStart w:id="0" w:name="_GoBack"/>
      <w:bookmarkEnd w:id="0"/>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Pr="008F52B0" w:rsidRDefault="008F52B0" w:rsidP="008F52B0">
      <w:pPr>
        <w:spacing w:after="0" w:line="480" w:lineRule="auto"/>
        <w:jc w:val="center"/>
        <w:rPr>
          <w:rFonts w:ascii="Times New Roman" w:hAnsi="Times New Roman" w:cs="Times New Roman"/>
          <w:sz w:val="24"/>
          <w:szCs w:val="24"/>
        </w:rPr>
      </w:pPr>
      <w:r w:rsidRPr="008F52B0">
        <w:rPr>
          <w:rFonts w:ascii="Times New Roman" w:hAnsi="Times New Roman" w:cs="Times New Roman"/>
          <w:sz w:val="24"/>
          <w:szCs w:val="24"/>
        </w:rPr>
        <w:t>MeToo Movement and Harassment Cases</w:t>
      </w:r>
    </w:p>
    <w:p w:rsidR="008F52B0" w:rsidRDefault="008F52B0" w:rsidP="008F52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Studetn’s Name</w:t>
      </w:r>
    </w:p>
    <w:p w:rsidR="008F52B0" w:rsidRDefault="008F52B0" w:rsidP="008F52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Pr="008F52B0" w:rsidRDefault="008F52B0" w:rsidP="008F52B0">
      <w:pPr>
        <w:spacing w:after="0" w:line="480" w:lineRule="auto"/>
        <w:jc w:val="center"/>
        <w:rPr>
          <w:rFonts w:ascii="Times New Roman" w:hAnsi="Times New Roman" w:cs="Times New Roman"/>
          <w:sz w:val="24"/>
          <w:szCs w:val="24"/>
        </w:rPr>
      </w:pPr>
      <w:r w:rsidRPr="008F52B0">
        <w:rPr>
          <w:rFonts w:ascii="Times New Roman" w:hAnsi="Times New Roman" w:cs="Times New Roman"/>
          <w:sz w:val="24"/>
          <w:szCs w:val="24"/>
        </w:rPr>
        <w:lastRenderedPageBreak/>
        <w:t>MeToo Movement and Harassment Cases</w:t>
      </w:r>
    </w:p>
    <w:p w:rsidR="008F52B0" w:rsidRPr="008F52B0" w:rsidRDefault="008F52B0" w:rsidP="008F52B0">
      <w:pPr>
        <w:spacing w:after="0" w:line="480" w:lineRule="auto"/>
        <w:ind w:firstLine="720"/>
        <w:rPr>
          <w:rFonts w:ascii="Times New Roman" w:hAnsi="Times New Roman" w:cs="Times New Roman"/>
          <w:sz w:val="24"/>
          <w:szCs w:val="24"/>
        </w:rPr>
      </w:pPr>
      <w:r w:rsidRPr="008F52B0">
        <w:rPr>
          <w:rFonts w:ascii="Times New Roman" w:hAnsi="Times New Roman" w:cs="Times New Roman"/>
          <w:sz w:val="24"/>
          <w:szCs w:val="24"/>
        </w:rPr>
        <w:t>Several cases of sexual harassment have emerged in the past recent years with most of them being blushed out due to lack of evidence or the victims have taken too long to report the cases. However, despite the bureaucratic system of the justice system, sexual harassment is real and it is happening beneath the noses of the lawmakers and people mandated to implement the laws. Sometimes, those involved in the law-making process are found to be involved. Therefore, the complex nature of the issues surrounding sexual harassment is immense and sometimes may block the way to realize justice to victims. MeToo movement has depicted the complex nature of these cases and how difficult it is for victims, especially women to raise sexual harassment cases even in countries with developed legislation on sexual harassment.</w:t>
      </w:r>
    </w:p>
    <w:p w:rsidR="008F52B0" w:rsidRPr="008F52B0" w:rsidRDefault="008F52B0" w:rsidP="008F52B0">
      <w:pPr>
        <w:spacing w:after="0" w:line="480" w:lineRule="auto"/>
        <w:ind w:firstLine="720"/>
        <w:rPr>
          <w:rFonts w:ascii="Times New Roman" w:hAnsi="Times New Roman" w:cs="Times New Roman"/>
          <w:sz w:val="24"/>
          <w:szCs w:val="24"/>
        </w:rPr>
      </w:pPr>
      <w:r w:rsidRPr="008F52B0">
        <w:rPr>
          <w:rFonts w:ascii="Times New Roman" w:hAnsi="Times New Roman" w:cs="Times New Roman"/>
          <w:sz w:val="24"/>
          <w:szCs w:val="24"/>
        </w:rPr>
        <w:t>MeToo movement started in 2017 after the New York Times broke the story of Harvey Weinstein and the actresses, Ashley Judd and Rose McGowan. The two actresses claimed that the Weinstein sexually assaulted them while they were pursuing their acting career (Tippett, 2018). The movement has brought out some of the sexual harassment cases that involved high ranking officials in different sectors including the church. Since then, several allegations have emerged with many alleged victims coming out to tell their narrative and ordeal through famous and powerful members of the society including politicians, prominent business people, and actors. Senator Al Franken, John Conyers, Blake AFarenthold are among the US politicians that have been mentioned in the MeToo movement. Actors include Kenedy Spacey and Disney producer, John Lasseter (Tippett, 2018, p. 232).</w:t>
      </w:r>
    </w:p>
    <w:p w:rsidR="008F52B0" w:rsidRPr="008F52B0" w:rsidRDefault="008F52B0" w:rsidP="008F52B0">
      <w:pPr>
        <w:spacing w:after="0" w:line="480" w:lineRule="auto"/>
        <w:ind w:firstLine="720"/>
        <w:rPr>
          <w:rFonts w:ascii="Times New Roman" w:hAnsi="Times New Roman" w:cs="Times New Roman"/>
          <w:sz w:val="24"/>
          <w:szCs w:val="24"/>
        </w:rPr>
      </w:pPr>
      <w:r w:rsidRPr="008F52B0">
        <w:rPr>
          <w:rFonts w:ascii="Times New Roman" w:hAnsi="Times New Roman" w:cs="Times New Roman"/>
          <w:sz w:val="24"/>
          <w:szCs w:val="24"/>
        </w:rPr>
        <w:t xml:space="preserve">Sexual harassment cases have been difficult to prove and to close in courts due to the strict requirement by the courts to prove that the victim was indeed assaulted. In some of the cases that have involved sexual assault and harassment claims, not even a single offender has </w:t>
      </w:r>
      <w:r w:rsidRPr="008F52B0">
        <w:rPr>
          <w:rFonts w:ascii="Times New Roman" w:hAnsi="Times New Roman" w:cs="Times New Roman"/>
          <w:sz w:val="24"/>
          <w:szCs w:val="24"/>
        </w:rPr>
        <w:lastRenderedPageBreak/>
        <w:t xml:space="preserve">been sentenced. For example, in the case </w:t>
      </w:r>
      <w:r w:rsidRPr="008F52B0">
        <w:rPr>
          <w:rFonts w:ascii="Times New Roman" w:hAnsi="Times New Roman" w:cs="Times New Roman"/>
          <w:i/>
          <w:sz w:val="24"/>
          <w:szCs w:val="24"/>
        </w:rPr>
        <w:t>of Davis v. Monroe County Board of Education</w:t>
      </w:r>
      <w:r w:rsidRPr="008F52B0">
        <w:rPr>
          <w:rFonts w:ascii="Times New Roman" w:hAnsi="Times New Roman" w:cs="Times New Roman"/>
          <w:sz w:val="24"/>
          <w:szCs w:val="24"/>
        </w:rPr>
        <w:t xml:space="preserve"> (1999), the court held that harassment cases need to be serious enough to have the systemic effect of denying the victim access to education. The court then overturned the Eleventh Circuit’s decision and remanded the case.</w:t>
      </w:r>
    </w:p>
    <w:p w:rsidR="008F52B0" w:rsidRPr="008F52B0" w:rsidRDefault="008F52B0" w:rsidP="008F52B0">
      <w:pPr>
        <w:spacing w:after="0" w:line="480" w:lineRule="auto"/>
        <w:ind w:firstLine="720"/>
        <w:rPr>
          <w:rFonts w:ascii="Times New Roman" w:hAnsi="Times New Roman" w:cs="Times New Roman"/>
          <w:sz w:val="24"/>
          <w:szCs w:val="24"/>
        </w:rPr>
      </w:pPr>
      <w:r w:rsidRPr="008F52B0">
        <w:rPr>
          <w:rFonts w:ascii="Times New Roman" w:hAnsi="Times New Roman" w:cs="Times New Roman"/>
          <w:sz w:val="24"/>
          <w:szCs w:val="24"/>
        </w:rPr>
        <w:t xml:space="preserve">I think that the MeToo movement will affect how courts view harassment cases in the future because it has been able to highlight how law can be misused to conceal harassment cases. MeToo movement will have to influence the change of the existing law on sexual harassment. For example, Title VII of the Civil Rights Acts contains the reference to harassment that most of the Supreme Court cases have been based on in the past decades. In the </w:t>
      </w:r>
      <w:r w:rsidRPr="008F52B0">
        <w:rPr>
          <w:rFonts w:ascii="Times New Roman" w:hAnsi="Times New Roman" w:cs="Times New Roman"/>
          <w:i/>
          <w:sz w:val="24"/>
          <w:szCs w:val="24"/>
        </w:rPr>
        <w:t>Oncale v. Sundowner</w:t>
      </w:r>
      <w:r w:rsidRPr="008F52B0">
        <w:rPr>
          <w:rFonts w:ascii="Times New Roman" w:hAnsi="Times New Roman" w:cs="Times New Roman"/>
          <w:sz w:val="24"/>
          <w:szCs w:val="24"/>
        </w:rPr>
        <w:t xml:space="preserve"> case, the court ruled that sexual harassment claim must be motivated by a Plaintiff’s membership in a protected category for it to be considered as harassment (Tippett, 2018). The court further clarified that sexual conduct does not prove harassment claims. In Meritor Savings Bank v. Vinson’s case, the court ruled that harassment must involve severe or pervasive conduct that could alter the conditions of the Plaintiff’s employment (</w:t>
      </w:r>
      <w:r w:rsidRPr="008F52B0">
        <w:rPr>
          <w:rFonts w:ascii="Times New Roman" w:hAnsi="Times New Roman" w:cs="Times New Roman"/>
          <w:i/>
          <w:sz w:val="24"/>
          <w:szCs w:val="24"/>
        </w:rPr>
        <w:t>Meritor Savings Bank  v. Vinson</w:t>
      </w:r>
      <w:r w:rsidRPr="008F52B0">
        <w:rPr>
          <w:rFonts w:ascii="Times New Roman" w:hAnsi="Times New Roman" w:cs="Times New Roman"/>
          <w:sz w:val="24"/>
          <w:szCs w:val="24"/>
        </w:rPr>
        <w:t>, 1986). MeToo movement has created a discussion where people are able to criticize and interrogate the provisions of uncertainty over what qualifies as harassment to minimize the sexual harassment cases that happen beneath the existence of the sexual harassment laws. In this regard, the MeToo movement may influence how the courts interpret sexual harassment cases. As Tippett (2018) explains, the lower courts have been found to misuse the “pervasive and severe” requirement to dismiss some of the serious sexual harassment claims; thus, denying the victims justice.</w:t>
      </w:r>
    </w:p>
    <w:p w:rsidR="00492B2F" w:rsidRPr="008F52B0" w:rsidRDefault="008F52B0" w:rsidP="008F52B0">
      <w:pPr>
        <w:spacing w:after="0" w:line="480" w:lineRule="auto"/>
        <w:ind w:firstLine="720"/>
        <w:rPr>
          <w:rFonts w:ascii="Times New Roman" w:hAnsi="Times New Roman" w:cs="Times New Roman"/>
          <w:sz w:val="24"/>
          <w:szCs w:val="24"/>
        </w:rPr>
      </w:pPr>
      <w:r w:rsidRPr="008F52B0">
        <w:rPr>
          <w:rFonts w:ascii="Times New Roman" w:hAnsi="Times New Roman" w:cs="Times New Roman"/>
          <w:sz w:val="24"/>
          <w:szCs w:val="24"/>
        </w:rPr>
        <w:t xml:space="preserve">In conclusion, the MeToo movement has brought a new perception of how to look at the sexual harassment cases and identified the loopholes that the offenders exploit to get away with </w:t>
      </w:r>
      <w:r w:rsidRPr="008F52B0">
        <w:rPr>
          <w:rFonts w:ascii="Times New Roman" w:hAnsi="Times New Roman" w:cs="Times New Roman"/>
          <w:sz w:val="24"/>
          <w:szCs w:val="24"/>
        </w:rPr>
        <w:lastRenderedPageBreak/>
        <w:t>the erroneous sexual harassment cases. In this regard, the MeToo movement will change the way the courts interpret what can be described as “pervasive or serious” in a sexual harassment case.</w:t>
      </w:r>
    </w:p>
    <w:p w:rsidR="00492B2F" w:rsidRPr="008F52B0" w:rsidRDefault="00492B2F" w:rsidP="008F52B0">
      <w:pPr>
        <w:spacing w:after="0" w:line="480" w:lineRule="auto"/>
        <w:ind w:firstLine="720"/>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8F52B0" w:rsidRDefault="008F52B0" w:rsidP="008F52B0">
      <w:pPr>
        <w:spacing w:after="0" w:line="480" w:lineRule="auto"/>
        <w:rPr>
          <w:rFonts w:ascii="Times New Roman" w:hAnsi="Times New Roman" w:cs="Times New Roman"/>
          <w:sz w:val="24"/>
          <w:szCs w:val="24"/>
        </w:rPr>
      </w:pPr>
    </w:p>
    <w:p w:rsidR="00492B2F" w:rsidRPr="008F52B0" w:rsidRDefault="00492B2F" w:rsidP="008F52B0">
      <w:pPr>
        <w:spacing w:after="0" w:line="480" w:lineRule="auto"/>
        <w:jc w:val="center"/>
        <w:rPr>
          <w:rFonts w:ascii="Times New Roman" w:hAnsi="Times New Roman" w:cs="Times New Roman"/>
          <w:sz w:val="24"/>
          <w:szCs w:val="24"/>
        </w:rPr>
      </w:pPr>
      <w:r w:rsidRPr="008F52B0">
        <w:rPr>
          <w:rFonts w:ascii="Times New Roman" w:hAnsi="Times New Roman" w:cs="Times New Roman"/>
          <w:sz w:val="24"/>
          <w:szCs w:val="24"/>
        </w:rPr>
        <w:lastRenderedPageBreak/>
        <w:t>References</w:t>
      </w:r>
    </w:p>
    <w:p w:rsidR="00492B2F" w:rsidRPr="008F52B0" w:rsidRDefault="008F52B0" w:rsidP="008F52B0">
      <w:pPr>
        <w:spacing w:after="0" w:line="480" w:lineRule="auto"/>
        <w:ind w:left="720" w:hanging="720"/>
        <w:rPr>
          <w:rFonts w:ascii="Times New Roman" w:hAnsi="Times New Roman" w:cs="Times New Roman"/>
          <w:sz w:val="24"/>
          <w:szCs w:val="24"/>
          <w:shd w:val="clear" w:color="auto" w:fill="FFFFFF"/>
        </w:rPr>
      </w:pPr>
      <w:r w:rsidRPr="008F52B0">
        <w:rPr>
          <w:rFonts w:ascii="Times New Roman" w:hAnsi="Times New Roman" w:cs="Times New Roman"/>
          <w:i/>
          <w:sz w:val="24"/>
          <w:szCs w:val="24"/>
          <w:shd w:val="clear" w:color="auto" w:fill="FFFFFF"/>
        </w:rPr>
        <w:t>Davis v. Monroe County Boa</w:t>
      </w:r>
      <w:r w:rsidR="00492B2F" w:rsidRPr="008F52B0">
        <w:rPr>
          <w:rFonts w:ascii="Times New Roman" w:hAnsi="Times New Roman" w:cs="Times New Roman"/>
          <w:i/>
          <w:sz w:val="24"/>
          <w:szCs w:val="24"/>
          <w:shd w:val="clear" w:color="auto" w:fill="FFFFFF"/>
        </w:rPr>
        <w:t>rd of Education</w:t>
      </w:r>
      <w:r w:rsidR="00492B2F" w:rsidRPr="008F52B0">
        <w:rPr>
          <w:rFonts w:ascii="Times New Roman" w:hAnsi="Times New Roman" w:cs="Times New Roman"/>
          <w:sz w:val="24"/>
          <w:szCs w:val="24"/>
          <w:shd w:val="clear" w:color="auto" w:fill="FFFFFF"/>
        </w:rPr>
        <w:t>,</w:t>
      </w:r>
      <w:r w:rsidRPr="008F52B0">
        <w:rPr>
          <w:rFonts w:ascii="Times New Roman" w:hAnsi="Times New Roman" w:cs="Times New Roman"/>
          <w:sz w:val="24"/>
          <w:szCs w:val="24"/>
          <w:shd w:val="clear" w:color="auto" w:fill="FFFFFF"/>
        </w:rPr>
        <w:t xml:space="preserve"> 526 U.S. 629</w:t>
      </w:r>
      <w:r w:rsidR="00492B2F" w:rsidRPr="008F52B0">
        <w:rPr>
          <w:rFonts w:ascii="Times New Roman" w:hAnsi="Times New Roman" w:cs="Times New Roman"/>
          <w:sz w:val="24"/>
          <w:szCs w:val="24"/>
          <w:shd w:val="clear" w:color="auto" w:fill="FFFFFF"/>
        </w:rPr>
        <w:t xml:space="preserve"> (1999</w:t>
      </w:r>
      <w:r w:rsidRPr="008F52B0">
        <w:rPr>
          <w:rFonts w:ascii="Times New Roman" w:hAnsi="Times New Roman" w:cs="Times New Roman"/>
          <w:sz w:val="24"/>
          <w:szCs w:val="24"/>
          <w:shd w:val="clear" w:color="auto" w:fill="FFFFFF"/>
        </w:rPr>
        <w:t>). Retrieved from http://www.law.cornell.edu/supremecourt/text/97-843</w:t>
      </w:r>
    </w:p>
    <w:p w:rsidR="00492B2F" w:rsidRPr="008F52B0" w:rsidRDefault="00492B2F" w:rsidP="008F52B0">
      <w:pPr>
        <w:spacing w:after="0" w:line="480" w:lineRule="auto"/>
        <w:ind w:left="720" w:hanging="720"/>
        <w:rPr>
          <w:rFonts w:ascii="Times New Roman" w:hAnsi="Times New Roman" w:cs="Times New Roman"/>
          <w:sz w:val="24"/>
          <w:szCs w:val="24"/>
          <w:shd w:val="clear" w:color="auto" w:fill="FFFFFF"/>
        </w:rPr>
      </w:pPr>
      <w:r w:rsidRPr="008F52B0">
        <w:rPr>
          <w:rFonts w:ascii="Times New Roman" w:hAnsi="Times New Roman" w:cs="Times New Roman"/>
          <w:i/>
          <w:sz w:val="24"/>
          <w:szCs w:val="24"/>
          <w:shd w:val="clear" w:color="auto" w:fill="FFFFFF"/>
        </w:rPr>
        <w:t>Meritor S</w:t>
      </w:r>
      <w:r w:rsidR="008F52B0" w:rsidRPr="008F52B0">
        <w:rPr>
          <w:rFonts w:ascii="Times New Roman" w:hAnsi="Times New Roman" w:cs="Times New Roman"/>
          <w:i/>
          <w:sz w:val="24"/>
          <w:szCs w:val="24"/>
          <w:shd w:val="clear" w:color="auto" w:fill="FFFFFF"/>
        </w:rPr>
        <w:t xml:space="preserve">avings </w:t>
      </w:r>
      <w:r w:rsidRPr="008F52B0">
        <w:rPr>
          <w:rFonts w:ascii="Times New Roman" w:hAnsi="Times New Roman" w:cs="Times New Roman"/>
          <w:i/>
          <w:sz w:val="24"/>
          <w:szCs w:val="24"/>
          <w:shd w:val="clear" w:color="auto" w:fill="FFFFFF"/>
        </w:rPr>
        <w:t>B</w:t>
      </w:r>
      <w:r w:rsidR="008F52B0" w:rsidRPr="008F52B0">
        <w:rPr>
          <w:rFonts w:ascii="Times New Roman" w:hAnsi="Times New Roman" w:cs="Times New Roman"/>
          <w:i/>
          <w:sz w:val="24"/>
          <w:szCs w:val="24"/>
          <w:shd w:val="clear" w:color="auto" w:fill="FFFFFF"/>
        </w:rPr>
        <w:t>ank</w:t>
      </w:r>
      <w:r w:rsidRPr="008F52B0">
        <w:rPr>
          <w:rFonts w:ascii="Times New Roman" w:hAnsi="Times New Roman" w:cs="Times New Roman"/>
          <w:i/>
          <w:sz w:val="24"/>
          <w:szCs w:val="24"/>
          <w:shd w:val="clear" w:color="auto" w:fill="FFFFFF"/>
        </w:rPr>
        <w:t xml:space="preserve"> v. Vinson</w:t>
      </w:r>
      <w:r w:rsidRPr="008F52B0">
        <w:rPr>
          <w:rFonts w:ascii="Times New Roman" w:hAnsi="Times New Roman" w:cs="Times New Roman"/>
          <w:sz w:val="24"/>
          <w:szCs w:val="24"/>
          <w:shd w:val="clear" w:color="auto" w:fill="FFFFFF"/>
        </w:rPr>
        <w:t>,</w:t>
      </w:r>
      <w:r w:rsidR="008F52B0" w:rsidRPr="008F52B0">
        <w:rPr>
          <w:rFonts w:ascii="Times New Roman" w:hAnsi="Times New Roman" w:cs="Times New Roman"/>
          <w:sz w:val="24"/>
          <w:szCs w:val="24"/>
          <w:shd w:val="clear" w:color="auto" w:fill="FFFFFF"/>
        </w:rPr>
        <w:t xml:space="preserve"> 477 U.S. 57</w:t>
      </w:r>
      <w:r w:rsidRPr="008F52B0">
        <w:rPr>
          <w:rFonts w:ascii="Times New Roman" w:hAnsi="Times New Roman" w:cs="Times New Roman"/>
          <w:sz w:val="24"/>
          <w:szCs w:val="24"/>
          <w:shd w:val="clear" w:color="auto" w:fill="FFFFFF"/>
        </w:rPr>
        <w:t xml:space="preserve"> (1986). </w:t>
      </w:r>
      <w:r w:rsidR="008F52B0" w:rsidRPr="008F52B0">
        <w:rPr>
          <w:rFonts w:ascii="Times New Roman" w:hAnsi="Times New Roman" w:cs="Times New Roman"/>
          <w:sz w:val="24"/>
          <w:szCs w:val="24"/>
          <w:shd w:val="clear" w:color="auto" w:fill="FFFFFF"/>
        </w:rPr>
        <w:t>Retrieved from http://www.law.cornell.edu/supremecourt/text/477/57</w:t>
      </w:r>
    </w:p>
    <w:p w:rsidR="00492B2F" w:rsidRPr="008F52B0" w:rsidRDefault="00492B2F" w:rsidP="008F52B0">
      <w:pPr>
        <w:spacing w:after="0" w:line="480" w:lineRule="auto"/>
        <w:ind w:left="720" w:hanging="720"/>
        <w:rPr>
          <w:rFonts w:ascii="Times New Roman" w:hAnsi="Times New Roman" w:cs="Times New Roman"/>
          <w:sz w:val="24"/>
          <w:szCs w:val="24"/>
          <w:shd w:val="clear" w:color="auto" w:fill="FFFFFF"/>
        </w:rPr>
      </w:pPr>
      <w:r w:rsidRPr="008F52B0">
        <w:rPr>
          <w:rFonts w:ascii="Times New Roman" w:hAnsi="Times New Roman" w:cs="Times New Roman"/>
          <w:i/>
          <w:sz w:val="24"/>
          <w:szCs w:val="24"/>
          <w:shd w:val="clear" w:color="auto" w:fill="FFFFFF"/>
        </w:rPr>
        <w:t>Oncale v. Sundowner Offshore Services,</w:t>
      </w:r>
      <w:r w:rsidRPr="008F52B0">
        <w:rPr>
          <w:rFonts w:ascii="Times New Roman" w:hAnsi="Times New Roman" w:cs="Times New Roman"/>
          <w:sz w:val="24"/>
          <w:szCs w:val="24"/>
          <w:shd w:val="clear" w:color="auto" w:fill="FFFFFF"/>
        </w:rPr>
        <w:t xml:space="preserve"> </w:t>
      </w:r>
      <w:r w:rsidR="008F52B0" w:rsidRPr="008F52B0">
        <w:rPr>
          <w:rFonts w:ascii="Times New Roman" w:hAnsi="Times New Roman" w:cs="Times New Roman"/>
          <w:sz w:val="24"/>
          <w:szCs w:val="24"/>
          <w:shd w:val="clear" w:color="auto" w:fill="FFFFFF"/>
        </w:rPr>
        <w:t>568 U.S. 96</w:t>
      </w:r>
      <w:r w:rsidRPr="008F52B0">
        <w:rPr>
          <w:rFonts w:ascii="Times New Roman" w:hAnsi="Times New Roman" w:cs="Times New Roman"/>
          <w:sz w:val="24"/>
          <w:szCs w:val="24"/>
          <w:shd w:val="clear" w:color="auto" w:fill="FFFFFF"/>
        </w:rPr>
        <w:t xml:space="preserve"> (1998). </w:t>
      </w:r>
      <w:r w:rsidR="008F52B0" w:rsidRPr="008F52B0">
        <w:rPr>
          <w:rFonts w:ascii="Times New Roman" w:hAnsi="Times New Roman" w:cs="Times New Roman"/>
          <w:sz w:val="24"/>
          <w:szCs w:val="24"/>
          <w:shd w:val="clear" w:color="auto" w:fill="FFFFFF"/>
        </w:rPr>
        <w:t>Retrieved from http://www.law.cornell.edu/supremecourt/text/96-568</w:t>
      </w:r>
    </w:p>
    <w:p w:rsidR="00492B2F" w:rsidRPr="008F52B0" w:rsidRDefault="008F52B0" w:rsidP="008F52B0">
      <w:pPr>
        <w:spacing w:after="0" w:line="480" w:lineRule="auto"/>
        <w:ind w:left="720" w:hanging="720"/>
        <w:rPr>
          <w:rFonts w:ascii="Times New Roman" w:hAnsi="Times New Roman" w:cs="Times New Roman"/>
          <w:b/>
          <w:sz w:val="24"/>
          <w:szCs w:val="24"/>
        </w:rPr>
      </w:pPr>
      <w:r w:rsidRPr="008F52B0">
        <w:rPr>
          <w:rFonts w:ascii="Times New Roman" w:hAnsi="Times New Roman" w:cs="Times New Roman"/>
          <w:sz w:val="24"/>
          <w:szCs w:val="24"/>
        </w:rPr>
        <w:t xml:space="preserve">Tippett, C. E. (2018). The Legal Implications of the MeToo Movement. </w:t>
      </w:r>
      <w:r w:rsidRPr="008F52B0">
        <w:rPr>
          <w:rFonts w:ascii="Times New Roman" w:hAnsi="Times New Roman" w:cs="Times New Roman"/>
          <w:i/>
          <w:sz w:val="24"/>
          <w:szCs w:val="24"/>
        </w:rPr>
        <w:t>Minnesota Law Review. Retrieved</w:t>
      </w:r>
      <w:r w:rsidRPr="008F52B0">
        <w:rPr>
          <w:rFonts w:ascii="Times New Roman" w:hAnsi="Times New Roman" w:cs="Times New Roman"/>
          <w:sz w:val="24"/>
          <w:szCs w:val="24"/>
        </w:rPr>
        <w:t xml:space="preserve"> from </w:t>
      </w:r>
      <w:hyperlink r:id="rId6" w:history="1">
        <w:r w:rsidRPr="008F52B0">
          <w:rPr>
            <w:rStyle w:val="Hyperlink"/>
            <w:rFonts w:ascii="Times New Roman" w:hAnsi="Times New Roman" w:cs="Times New Roman"/>
            <w:color w:val="auto"/>
            <w:sz w:val="24"/>
            <w:szCs w:val="24"/>
            <w:u w:val="none"/>
          </w:rPr>
          <w:t>https://www.minnesotalawreview.org/wp-content/uploads/2019/01/12Tippett_MLR.pdf</w:t>
        </w:r>
      </w:hyperlink>
    </w:p>
    <w:sectPr w:rsidR="00492B2F" w:rsidRPr="008F52B0" w:rsidSect="008F52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073" w:rsidRDefault="008C3073" w:rsidP="008F52B0">
      <w:pPr>
        <w:spacing w:after="0" w:line="240" w:lineRule="auto"/>
      </w:pPr>
      <w:r>
        <w:separator/>
      </w:r>
    </w:p>
  </w:endnote>
  <w:endnote w:type="continuationSeparator" w:id="0">
    <w:p w:rsidR="008C3073" w:rsidRDefault="008C3073" w:rsidP="008F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073" w:rsidRDefault="008C3073" w:rsidP="008F52B0">
      <w:pPr>
        <w:spacing w:after="0" w:line="240" w:lineRule="auto"/>
      </w:pPr>
      <w:r>
        <w:separator/>
      </w:r>
    </w:p>
  </w:footnote>
  <w:footnote w:type="continuationSeparator" w:id="0">
    <w:p w:rsidR="008C3073" w:rsidRDefault="008C3073" w:rsidP="008F5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2B0" w:rsidRDefault="008F52B0">
    <w:pPr>
      <w:pStyle w:val="Header"/>
    </w:pPr>
    <w:r w:rsidRPr="008F52B0">
      <w:rPr>
        <w:rFonts w:ascii="Times New Roman" w:hAnsi="Times New Roman" w:cs="Times New Roman"/>
        <w:sz w:val="24"/>
        <w:szCs w:val="24"/>
      </w:rPr>
      <w:t xml:space="preserve">METOO MOVEMENT AND HARASSMENT COURT CASES </w:t>
    </w:r>
    <w:r w:rsidRPr="008F52B0">
      <w:rPr>
        <w:rFonts w:ascii="Times New Roman" w:hAnsi="Times New Roman" w:cs="Times New Roman"/>
        <w:sz w:val="24"/>
        <w:szCs w:val="24"/>
      </w:rPr>
      <w:tab/>
    </w:r>
    <w:r w:rsidRPr="008F52B0">
      <w:rPr>
        <w:rFonts w:ascii="Times New Roman" w:hAnsi="Times New Roman" w:cs="Times New Roman"/>
        <w:sz w:val="24"/>
        <w:szCs w:val="24"/>
      </w:rPr>
      <w:tab/>
    </w:r>
    <w:r w:rsidRPr="008F52B0">
      <w:rPr>
        <w:rFonts w:ascii="Times New Roman" w:hAnsi="Times New Roman" w:cs="Times New Roman"/>
        <w:sz w:val="24"/>
        <w:szCs w:val="24"/>
      </w:rPr>
      <w:fldChar w:fldCharType="begin"/>
    </w:r>
    <w:r w:rsidRPr="008F52B0">
      <w:rPr>
        <w:rFonts w:ascii="Times New Roman" w:hAnsi="Times New Roman" w:cs="Times New Roman"/>
        <w:sz w:val="24"/>
        <w:szCs w:val="24"/>
      </w:rPr>
      <w:instrText xml:space="preserve"> PAGE   \* MERGEFORMAT </w:instrText>
    </w:r>
    <w:r w:rsidRPr="008F52B0">
      <w:rPr>
        <w:rFonts w:ascii="Times New Roman" w:hAnsi="Times New Roman" w:cs="Times New Roman"/>
        <w:sz w:val="24"/>
        <w:szCs w:val="24"/>
      </w:rPr>
      <w:fldChar w:fldCharType="separate"/>
    </w:r>
    <w:r w:rsidR="00576B75">
      <w:rPr>
        <w:rFonts w:ascii="Times New Roman" w:hAnsi="Times New Roman" w:cs="Times New Roman"/>
        <w:noProof/>
        <w:sz w:val="24"/>
        <w:szCs w:val="24"/>
      </w:rPr>
      <w:t>2</w:t>
    </w:r>
    <w:r w:rsidRPr="008F52B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2B0" w:rsidRPr="008F52B0" w:rsidRDefault="008F52B0">
    <w:pPr>
      <w:pStyle w:val="Header"/>
      <w:rPr>
        <w:rFonts w:ascii="Times New Roman" w:hAnsi="Times New Roman" w:cs="Times New Roman"/>
        <w:sz w:val="24"/>
        <w:szCs w:val="24"/>
      </w:rPr>
    </w:pPr>
    <w:r w:rsidRPr="008F52B0">
      <w:rPr>
        <w:rFonts w:ascii="Times New Roman" w:hAnsi="Times New Roman" w:cs="Times New Roman"/>
        <w:sz w:val="24"/>
        <w:szCs w:val="24"/>
      </w:rPr>
      <w:t xml:space="preserve">Running head: METOO MOVEMENT AND HARASSMENT COURT CASES </w:t>
    </w:r>
    <w:r w:rsidRPr="008F52B0">
      <w:rPr>
        <w:rFonts w:ascii="Times New Roman" w:hAnsi="Times New Roman" w:cs="Times New Roman"/>
        <w:sz w:val="24"/>
        <w:szCs w:val="24"/>
      </w:rPr>
      <w:tab/>
    </w:r>
    <w:r w:rsidRPr="008F52B0">
      <w:rPr>
        <w:rFonts w:ascii="Times New Roman" w:hAnsi="Times New Roman" w:cs="Times New Roman"/>
        <w:sz w:val="24"/>
        <w:szCs w:val="24"/>
      </w:rPr>
      <w:tab/>
    </w:r>
    <w:r w:rsidRPr="008F52B0">
      <w:rPr>
        <w:rFonts w:ascii="Times New Roman" w:hAnsi="Times New Roman" w:cs="Times New Roman"/>
        <w:sz w:val="24"/>
        <w:szCs w:val="24"/>
      </w:rPr>
      <w:fldChar w:fldCharType="begin"/>
    </w:r>
    <w:r w:rsidRPr="008F52B0">
      <w:rPr>
        <w:rFonts w:ascii="Times New Roman" w:hAnsi="Times New Roman" w:cs="Times New Roman"/>
        <w:sz w:val="24"/>
        <w:szCs w:val="24"/>
      </w:rPr>
      <w:instrText xml:space="preserve"> PAGE   \* MERGEFORMAT </w:instrText>
    </w:r>
    <w:r w:rsidRPr="008F52B0">
      <w:rPr>
        <w:rFonts w:ascii="Times New Roman" w:hAnsi="Times New Roman" w:cs="Times New Roman"/>
        <w:sz w:val="24"/>
        <w:szCs w:val="24"/>
      </w:rPr>
      <w:fldChar w:fldCharType="separate"/>
    </w:r>
    <w:r w:rsidR="00576B75">
      <w:rPr>
        <w:rFonts w:ascii="Times New Roman" w:hAnsi="Times New Roman" w:cs="Times New Roman"/>
        <w:noProof/>
        <w:sz w:val="24"/>
        <w:szCs w:val="24"/>
      </w:rPr>
      <w:t>1</w:t>
    </w:r>
    <w:r w:rsidRPr="008F52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AF3"/>
    <w:rsid w:val="001F0AF3"/>
    <w:rsid w:val="001F6AD4"/>
    <w:rsid w:val="003135A9"/>
    <w:rsid w:val="00492B2F"/>
    <w:rsid w:val="00576B75"/>
    <w:rsid w:val="007550EF"/>
    <w:rsid w:val="008C3073"/>
    <w:rsid w:val="008F52B0"/>
    <w:rsid w:val="00C1092F"/>
    <w:rsid w:val="00DA6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BF525-3964-45E8-AA79-45161067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52B0"/>
    <w:rPr>
      <w:color w:val="0000FF"/>
      <w:u w:val="single"/>
    </w:rPr>
  </w:style>
  <w:style w:type="paragraph" w:styleId="Header">
    <w:name w:val="header"/>
    <w:basedOn w:val="Normal"/>
    <w:link w:val="HeaderChar"/>
    <w:uiPriority w:val="99"/>
    <w:unhideWhenUsed/>
    <w:rsid w:val="008F5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2B0"/>
  </w:style>
  <w:style w:type="paragraph" w:styleId="Footer">
    <w:name w:val="footer"/>
    <w:basedOn w:val="Normal"/>
    <w:link w:val="FooterChar"/>
    <w:uiPriority w:val="99"/>
    <w:unhideWhenUsed/>
    <w:rsid w:val="008F5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nnesotalawreview.org/wp-content/uploads/2019/01/12Tippett_MLR.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2019-11-05T08:15:00Z</dcterms:created>
  <dcterms:modified xsi:type="dcterms:W3CDTF">2019-11-05T08:15:00Z</dcterms:modified>
</cp:coreProperties>
</file>